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1200"/>
      </w:pPr>
      <w:r>
        <w:rPr>
          <w:b/>
          <w:bCs/>
          <w:color w:val="C2410C"/>
          <w:spacing w:val="60"/>
          <w:sz w:val="20"/>
          <w:szCs w:val="20"/>
        </w:rPr>
        <w:t xml:space="preserve">ENGAGEMENT PLAN TEMPLATE</w:t>
      </w:r>
    </w:p>
    <w:p>
      <w:pPr>
        <w:spacing w:after="200"/>
      </w:pPr>
      <w:r>
        <w:rPr>
          <w:rFonts w:ascii="Georgia" w:cs="Georgia" w:eastAsia="Georgia" w:hAnsi="Georgia"/>
          <w:color w:val="1F3A5F"/>
          <w:sz w:val="52"/>
          <w:szCs w:val="52"/>
        </w:rPr>
        <w:t xml:space="preserve">Climate Adaptation, Disaster Risk Reduction &amp; Resilience</w:t>
      </w:r>
    </w:p>
    <w:p>
      <w:pPr>
        <w:spacing w:after="600"/>
      </w:pPr>
      <w:r>
        <w:rPr>
          <w:i/>
          <w:iCs/>
          <w:color w:val="6B7280"/>
          <w:sz w:val="22"/>
          <w:szCs w:val="22"/>
        </w:rPr>
        <w:t xml:space="preserve">A working document for scoping an engagement with Jason Sandman · Disaster Risk Solutions. Complete what you can; leave the rest blank — the gaps are the conversation.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360"/>
      </w:tblGrid>
      <w:tr>
        <w:trPr>
          <w:tblHeader/>
        </w:trPr>
        <w:tc>
          <w:tcPr>
            <w:tcW w:type="dxa" w:w="3000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shd w:fill="E8EE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1F3A5F"/>
                <w:sz w:val="20"/>
                <w:szCs w:val="20"/>
              </w:rPr>
              <w:t xml:space="preserve">Field</w:t>
            </w:r>
          </w:p>
        </w:tc>
        <w:tc>
          <w:tcPr>
            <w:tcW w:type="dxa" w:w="6360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shd w:fill="E8EE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1F3A5F"/>
                <w:sz w:val="20"/>
                <w:szCs w:val="20"/>
              </w:rPr>
              <w:t xml:space="preserve">Your entry</w:t>
            </w:r>
          </w:p>
        </w:tc>
      </w:tr>
      <w:tr>
        <w:tc>
          <w:tcPr>
            <w:tcW w:type="dxa" w:w="3000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Organization</w:t>
            </w:r>
          </w:p>
        </w:tc>
        <w:tc>
          <w:tcPr>
            <w:tcW w:type="dxa" w:w="6360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Primary contact &amp; role</w:t>
            </w:r>
          </w:p>
        </w:tc>
        <w:tc>
          <w:tcPr>
            <w:tcW w:type="dxa" w:w="6360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Email / phone</w:t>
            </w:r>
          </w:p>
        </w:tc>
        <w:tc>
          <w:tcPr>
            <w:tcW w:type="dxa" w:w="6360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Sector</w:t>
            </w:r>
          </w:p>
        </w:tc>
        <w:tc>
          <w:tcPr>
            <w:tcW w:type="dxa" w:w="6360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☐ Public   ☐ Private / NGO   ☐ Hybrid</w:t>
            </w:r>
          </w:p>
        </w:tc>
      </w:tr>
      <w:tr>
        <w:tc>
          <w:tcPr>
            <w:tcW w:type="dxa" w:w="3000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Geography / jurisdiction</w:t>
            </w:r>
          </w:p>
        </w:tc>
        <w:tc>
          <w:tcPr>
            <w:tcW w:type="dxa" w:w="6360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Date prepared</w:t>
            </w:r>
          </w:p>
        </w:tc>
        <w:tc>
          <w:tcPr>
            <w:tcW w:type="dxa" w:w="6360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Plan track</w:t>
            </w:r>
          </w:p>
        </w:tc>
        <w:tc>
          <w:tcPr>
            <w:tcW w:type="dxa" w:w="6360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☐ Strategy Development   ☐ Implementation Support   ☐ Training &amp; Workshops</w:t>
            </w:r>
          </w:p>
        </w:tc>
      </w:tr>
    </w:tbl>
    <w:p>
      <w:r>
        <w:br w:type="page"/>
      </w:r>
    </w:p>
    <w:p>
      <w:pPr>
        <w:pStyle w:val="Heading1"/>
      </w:pPr>
      <w:r>
        <w:t xml:space="preserve">1. The Question Behind the Question</w:t>
      </w:r>
    </w:p>
    <w:p>
      <w:pPr>
        <w:spacing w:after="160"/>
      </w:pPr>
      <w:r>
        <w:rPr>
          <w:i/>
          <w:iCs/>
          <w:color w:val="6B7280"/>
          <w:sz w:val="20"/>
          <w:szCs w:val="20"/>
        </w:rPr>
        <w:t xml:space="preserve">Describe the decision you are trying to make, not the deliverable you think you need. What happens if nothing changes in 24 months?</w:t>
      </w:r>
    </w:p>
    <w:p>
      <w:pPr>
        <w:pBdr>
          <w:bottom w:val="single" w:color="9CA3AF" w:sz="4" w:space="1"/>
        </w:pBdr>
        <w:spacing w:after="200"/>
      </w:pPr>
      <w:r>
        <w:t xml:space="preserve"> </w:t>
      </w:r>
    </w:p>
    <w:p>
      <w:pPr>
        <w:pBdr>
          <w:bottom w:val="single" w:color="9CA3AF" w:sz="4" w:space="1"/>
        </w:pBdr>
        <w:spacing w:after="200"/>
      </w:pPr>
      <w:r>
        <w:t xml:space="preserve"> </w:t>
      </w:r>
    </w:p>
    <w:p>
      <w:pPr>
        <w:pBdr>
          <w:bottom w:val="single" w:color="9CA3AF" w:sz="4" w:space="1"/>
        </w:pBdr>
        <w:spacing w:after="200"/>
      </w:pPr>
      <w:r>
        <w:t xml:space="preserve"> </w:t>
      </w:r>
    </w:p>
    <w:p>
      <w:pPr>
        <w:pBdr>
          <w:bottom w:val="single" w:color="9CA3AF" w:sz="4" w:space="1"/>
        </w:pBdr>
        <w:spacing w:after="200"/>
      </w:pPr>
      <w:r>
        <w:t xml:space="preserve"> </w:t>
      </w:r>
    </w:p>
    <w:p>
      <w:pPr>
        <w:pStyle w:val="Heading2"/>
      </w:pPr>
      <w:r>
        <w:t xml:space="preserve">Who is asking, and who is affected</w:t>
      </w:r>
    </w:p>
    <w:p>
      <w:pPr>
        <w:spacing w:after="160"/>
      </w:pPr>
      <w:r>
        <w:rPr>
          <w:i/>
          <w:iCs/>
          <w:color w:val="6B7280"/>
          <w:sz w:val="20"/>
          <w:szCs w:val="20"/>
        </w:rPr>
        <w:t xml:space="preserve">Decision-makers, funders, frontline staff, and the populations most exposed — including trapped or mobile populations.</w:t>
      </w:r>
    </w:p>
    <w:p>
      <w:pPr>
        <w:pBdr>
          <w:bottom w:val="single" w:color="9CA3AF" w:sz="4" w:space="1"/>
        </w:pBdr>
        <w:spacing w:after="200"/>
      </w:pPr>
      <w:r>
        <w:t xml:space="preserve"> </w:t>
      </w:r>
    </w:p>
    <w:p>
      <w:pPr>
        <w:pBdr>
          <w:bottom w:val="single" w:color="9CA3AF" w:sz="4" w:space="1"/>
        </w:pBdr>
        <w:spacing w:after="200"/>
      </w:pPr>
      <w:r>
        <w:t xml:space="preserve"> </w:t>
      </w:r>
    </w:p>
    <w:p>
      <w:pPr>
        <w:pBdr>
          <w:bottom w:val="single" w:color="9CA3AF" w:sz="4" w:space="1"/>
        </w:pBdr>
        <w:spacing w:after="200"/>
      </w:pPr>
      <w:r>
        <w:t xml:space="preserve"> </w:t>
      </w:r>
    </w:p>
    <w:p>
      <w:pPr>
        <w:pStyle w:val="Heading1"/>
      </w:pPr>
      <w:r>
        <w:t xml:space="preserve">2. Risk Context</w:t>
      </w:r>
    </w:p>
    <w:p>
      <w:pPr>
        <w:spacing w:after="160"/>
      </w:pPr>
      <w:r>
        <w:rPr>
          <w:i/>
          <w:iCs/>
          <w:color w:val="6B7280"/>
          <w:sz w:val="20"/>
          <w:szCs w:val="20"/>
        </w:rPr>
        <w:t xml:space="preserve">Complete the hazard–vulnerability–exposure snapshot. Use your best current knowledge; a formal HRVA can be scoped as part of the engagement.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2600"/>
        <w:gridCol w:w="2600"/>
        <w:gridCol w:w="1760"/>
      </w:tblGrid>
      <w:tr>
        <w:trPr>
          <w:tblHeader/>
        </w:trPr>
        <w:tc>
          <w:tcPr>
            <w:tcW w:type="dxa" w:w="2400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shd w:fill="E8EE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1F3A5F"/>
                <w:sz w:val="20"/>
                <w:szCs w:val="20"/>
              </w:rPr>
              <w:t xml:space="preserve">Hazard</w:t>
            </w:r>
          </w:p>
        </w:tc>
        <w:tc>
          <w:tcPr>
            <w:tcW w:type="dxa" w:w="2600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shd w:fill="E8EE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1F3A5F"/>
                <w:sz w:val="20"/>
                <w:szCs w:val="20"/>
              </w:rPr>
              <w:t xml:space="preserve">Exposed people / assets</w:t>
            </w:r>
          </w:p>
        </w:tc>
        <w:tc>
          <w:tcPr>
            <w:tcW w:type="dxa" w:w="2600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shd w:fill="E8EE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1F3A5F"/>
                <w:sz w:val="20"/>
                <w:szCs w:val="20"/>
              </w:rPr>
              <w:t xml:space="preserve">Key vulnerabilities</w:t>
            </w:r>
          </w:p>
        </w:tc>
        <w:tc>
          <w:tcPr>
            <w:tcW w:type="dxa" w:w="1760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shd w:fill="E8EE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1F3A5F"/>
                <w:sz w:val="20"/>
                <w:szCs w:val="20"/>
              </w:rPr>
              <w:t xml:space="preserve">Existing capacity</w:t>
            </w:r>
          </w:p>
        </w:tc>
      </w:tr>
      <w:tr>
        <w:tc>
          <w:tcPr>
            <w:tcW w:type="dxa" w:w="2400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600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600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60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600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600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60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600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600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60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600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600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60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after="140"/>
      </w:pPr>
      <w:r>
        <w:t xml:space="preserve"> </w:t>
      </w:r>
    </w:p>
    <w:p>
      <w:pPr>
        <w:pStyle w:val="Heading2"/>
      </w:pPr>
      <w:r>
        <w:t xml:space="preserve">Drivers we must integrate</w:t>
      </w:r>
    </w:p>
    <w:p>
      <w:pPr>
        <w:spacing w:after="160"/>
      </w:pPr>
      <w:r>
        <w:rPr>
          <w:i/>
          <w:iCs/>
          <w:color w:val="6B7280"/>
          <w:sz w:val="20"/>
          <w:szCs w:val="20"/>
        </w:rPr>
        <w:t xml:space="preserve">Effective DRR requires stronger integration of the following. Tick what is already in play; circle what is missing.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Drought resilience &amp; water security          ☐ in play   ☐ missing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Ecosystem-based adaptation &amp; management     ☐ in play   ☐ missing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Inclusive governance &amp; community trust         ☐ in play   ☐ missing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Science-based decision-making &amp; early warning ☐ in play   ☐ missing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Innovative / pre-arranged financing               ☐ in play   ☐ missing</w:t>
      </w:r>
    </w:p>
    <w:p>
      <w:pPr>
        <w:pStyle w:val="Heading1"/>
      </w:pPr>
      <w:r>
        <w:t xml:space="preserve">3. Objectives &amp; Key Results</w:t>
      </w:r>
    </w:p>
    <w:p>
      <w:pPr>
        <w:spacing w:after="160"/>
      </w:pPr>
      <w:r>
        <w:rPr>
          <w:i/>
          <w:iCs/>
          <w:color w:val="6B7280"/>
          <w:sz w:val="20"/>
          <w:szCs w:val="20"/>
        </w:rPr>
        <w:t xml:space="preserve">Up to three objectives. Each key result should be observable by a stranger.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1920"/>
        <w:gridCol w:w="1920"/>
        <w:gridCol w:w="1920"/>
      </w:tblGrid>
      <w:tr>
        <w:trPr>
          <w:tblHeader/>
        </w:trPr>
        <w:tc>
          <w:tcPr>
            <w:tcW w:type="dxa" w:w="3600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shd w:fill="E8EE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1F3A5F"/>
                <w:sz w:val="20"/>
                <w:szCs w:val="20"/>
              </w:rPr>
              <w:t xml:space="preserve">Objective</w:t>
            </w:r>
          </w:p>
        </w:tc>
        <w:tc>
          <w:tcPr>
            <w:tcW w:type="dxa" w:w="1920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shd w:fill="E8EE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1F3A5F"/>
                <w:sz w:val="20"/>
                <w:szCs w:val="20"/>
              </w:rPr>
              <w:t xml:space="preserve">Key result 1</w:t>
            </w:r>
          </w:p>
        </w:tc>
        <w:tc>
          <w:tcPr>
            <w:tcW w:type="dxa" w:w="1920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shd w:fill="E8EE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1F3A5F"/>
                <w:sz w:val="20"/>
                <w:szCs w:val="20"/>
              </w:rPr>
              <w:t xml:space="preserve">Key result 2</w:t>
            </w:r>
          </w:p>
        </w:tc>
        <w:tc>
          <w:tcPr>
            <w:tcW w:type="dxa" w:w="1920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shd w:fill="E8EE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1F3A5F"/>
                <w:sz w:val="20"/>
                <w:szCs w:val="20"/>
              </w:rPr>
              <w:t xml:space="preserve">By when</w:t>
            </w:r>
          </w:p>
        </w:tc>
      </w:tr>
      <w:tr>
        <w:tc>
          <w:tcPr>
            <w:tcW w:type="dxa" w:w="3600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920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920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920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600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920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920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920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600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920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920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920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pStyle w:val="Heading1"/>
      </w:pPr>
      <w:r>
        <w:t xml:space="preserve">4. Scope of Work</w:t>
      </w:r>
    </w:p>
    <w:p>
      <w:pPr>
        <w:pStyle w:val="Heading2"/>
      </w:pPr>
      <w:r>
        <w:t xml:space="preserve">In scope</w:t>
      </w:r>
    </w:p>
    <w:p>
      <w:pPr>
        <w:pBdr>
          <w:bottom w:val="single" w:color="9CA3AF" w:sz="4" w:space="1"/>
        </w:pBdr>
        <w:spacing w:after="200"/>
      </w:pPr>
      <w:r>
        <w:t xml:space="preserve"> </w:t>
      </w:r>
    </w:p>
    <w:p>
      <w:pPr>
        <w:pBdr>
          <w:bottom w:val="single" w:color="9CA3AF" w:sz="4" w:space="1"/>
        </w:pBdr>
        <w:spacing w:after="200"/>
      </w:pPr>
      <w:r>
        <w:t xml:space="preserve"> </w:t>
      </w:r>
    </w:p>
    <w:p>
      <w:pPr>
        <w:pBdr>
          <w:bottom w:val="single" w:color="9CA3AF" w:sz="4" w:space="1"/>
        </w:pBdr>
        <w:spacing w:after="200"/>
      </w:pPr>
      <w:r>
        <w:t xml:space="preserve"> </w:t>
      </w:r>
    </w:p>
    <w:p>
      <w:pPr>
        <w:pStyle w:val="Heading2"/>
      </w:pPr>
      <w:r>
        <w:t xml:space="preserve">Explicitly out of scope</w:t>
      </w:r>
    </w:p>
    <w:p>
      <w:pPr>
        <w:pBdr>
          <w:bottom w:val="single" w:color="9CA3AF" w:sz="4" w:space="1"/>
        </w:pBdr>
        <w:spacing w:after="200"/>
      </w:pPr>
      <w:r>
        <w:t xml:space="preserve"> </w:t>
      </w:r>
    </w:p>
    <w:p>
      <w:pPr>
        <w:pBdr>
          <w:bottom w:val="single" w:color="9CA3AF" w:sz="4" w:space="1"/>
        </w:pBdr>
        <w:spacing w:after="200"/>
      </w:pPr>
      <w:r>
        <w:t xml:space="preserve"> </w:t>
      </w:r>
    </w:p>
    <w:p>
      <w:pPr>
        <w:pStyle w:val="Heading2"/>
      </w:pPr>
      <w:r>
        <w:t xml:space="preserve">Deliverables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4260"/>
        <w:gridCol w:w="2000"/>
        <w:gridCol w:w="2500"/>
      </w:tblGrid>
      <w:tr>
        <w:trPr>
          <w:tblHeader/>
        </w:trPr>
        <w:tc>
          <w:tcPr>
            <w:tcW w:type="dxa" w:w="600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shd w:fill="E8EE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1F3A5F"/>
                <w:sz w:val="20"/>
                <w:szCs w:val="20"/>
              </w:rPr>
              <w:t xml:space="preserve">#</w:t>
            </w:r>
          </w:p>
        </w:tc>
        <w:tc>
          <w:tcPr>
            <w:tcW w:type="dxa" w:w="4260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shd w:fill="E8EE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1F3A5F"/>
                <w:sz w:val="20"/>
                <w:szCs w:val="20"/>
              </w:rPr>
              <w:t xml:space="preserve">Deliverable</w:t>
            </w:r>
          </w:p>
        </w:tc>
        <w:tc>
          <w:tcPr>
            <w:tcW w:type="dxa" w:w="2000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shd w:fill="E8EE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1F3A5F"/>
                <w:sz w:val="20"/>
                <w:szCs w:val="20"/>
              </w:rPr>
              <w:t xml:space="preserve">Format</w:t>
            </w:r>
          </w:p>
        </w:tc>
        <w:tc>
          <w:tcPr>
            <w:tcW w:type="dxa" w:w="2500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shd w:fill="E8EE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1F3A5F"/>
                <w:sz w:val="20"/>
                <w:szCs w:val="20"/>
              </w:rPr>
              <w:t xml:space="preserve">Acceptance criteria</w:t>
            </w:r>
          </w:p>
        </w:tc>
      </w:tr>
      <w:tr>
        <w:tc>
          <w:tcPr>
            <w:tcW w:type="dxa" w:w="600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4260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500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4260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500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4260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500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4</w:t>
            </w:r>
          </w:p>
        </w:tc>
        <w:tc>
          <w:tcPr>
            <w:tcW w:type="dxa" w:w="4260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500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pStyle w:val="Heading1"/>
      </w:pPr>
      <w:r>
        <w:t xml:space="preserve">5. Engagement Phases &amp; Timeline</w:t>
      </w:r>
    </w:p>
    <w:p>
      <w:pPr>
        <w:spacing w:after="160"/>
      </w:pPr>
      <w:r>
        <w:rPr>
          <w:i/>
          <w:iCs/>
          <w:color w:val="6B7280"/>
          <w:sz w:val="20"/>
          <w:szCs w:val="20"/>
        </w:rPr>
        <w:t xml:space="preserve">The five-step process used on every engagement. Indicate your target dates; lead time is typically 2–3 weeks, preferred engagements run 3+ months.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3760"/>
        <w:gridCol w:w="1500"/>
        <w:gridCol w:w="1100"/>
      </w:tblGrid>
      <w:tr>
        <w:trPr>
          <w:tblHeader/>
        </w:trPr>
        <w:tc>
          <w:tcPr>
            <w:tcW w:type="dxa" w:w="3000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shd w:fill="E8EE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1F3A5F"/>
                <w:sz w:val="20"/>
                <w:szCs w:val="20"/>
              </w:rPr>
              <w:t xml:space="preserve">Phase</w:t>
            </w:r>
          </w:p>
        </w:tc>
        <w:tc>
          <w:tcPr>
            <w:tcW w:type="dxa" w:w="3760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shd w:fill="E8EE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1F3A5F"/>
                <w:sz w:val="20"/>
                <w:szCs w:val="20"/>
              </w:rPr>
              <w:t xml:space="preserve">Purpose</w:t>
            </w:r>
          </w:p>
        </w:tc>
        <w:tc>
          <w:tcPr>
            <w:tcW w:type="dxa" w:w="1500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shd w:fill="E8EE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1F3A5F"/>
                <w:sz w:val="20"/>
                <w:szCs w:val="20"/>
              </w:rPr>
              <w:t xml:space="preserve">Target window</w:t>
            </w:r>
          </w:p>
        </w:tc>
        <w:tc>
          <w:tcPr>
            <w:tcW w:type="dxa" w:w="1100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shd w:fill="E8EE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1F3A5F"/>
                <w:sz w:val="20"/>
                <w:szCs w:val="20"/>
              </w:rPr>
              <w:t xml:space="preserve">Owner</w:t>
            </w:r>
          </w:p>
        </w:tc>
      </w:tr>
      <w:tr>
        <w:tc>
          <w:tcPr>
            <w:tcW w:type="dxa" w:w="3000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01 · Initial consultation</w:t>
            </w:r>
          </w:p>
        </w:tc>
        <w:tc>
          <w:tcPr>
            <w:tcW w:type="dxa" w:w="3760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Listening session; confirm the question and the decision-makers.</w:t>
            </w:r>
          </w:p>
        </w:tc>
        <w:tc>
          <w:tcPr>
            <w:tcW w:type="dxa" w:w="1500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02 · Needs assessment</w:t>
            </w:r>
          </w:p>
        </w:tc>
        <w:tc>
          <w:tcPr>
            <w:tcW w:type="dxa" w:w="3760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Rapid HRVA, stakeholder &amp; capacity analysis, document review.</w:t>
            </w:r>
          </w:p>
        </w:tc>
        <w:tc>
          <w:tcPr>
            <w:tcW w:type="dxa" w:w="1500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03 · Written proposal</w:t>
            </w:r>
          </w:p>
        </w:tc>
        <w:tc>
          <w:tcPr>
            <w:tcW w:type="dxa" w:w="3760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Scope, deliverables, budget envelope, and acceptance criteria.</w:t>
            </w:r>
          </w:p>
        </w:tc>
        <w:tc>
          <w:tcPr>
            <w:tcW w:type="dxa" w:w="1500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04 · Implementation</w:t>
            </w:r>
          </w:p>
        </w:tc>
        <w:tc>
          <w:tcPr>
            <w:tcW w:type="dxa" w:w="3760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Strategy / roadmap / workshops delivered in sprints with check-ins.</w:t>
            </w:r>
          </w:p>
        </w:tc>
        <w:tc>
          <w:tcPr>
            <w:tcW w:type="dxa" w:w="1500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05 · Evaluation &amp; reporting</w:t>
            </w:r>
          </w:p>
        </w:tc>
        <w:tc>
          <w:tcPr>
            <w:tcW w:type="dxa" w:w="3760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Results against key results; handover and sustainment plan.</w:t>
            </w:r>
          </w:p>
        </w:tc>
        <w:tc>
          <w:tcPr>
            <w:tcW w:type="dxa" w:w="1500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pStyle w:val="Heading1"/>
      </w:pPr>
      <w:r>
        <w:t xml:space="preserve">6. Stakeholders &amp; Governance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2600"/>
        <w:gridCol w:w="2600"/>
        <w:gridCol w:w="1360"/>
      </w:tblGrid>
      <w:tr>
        <w:trPr>
          <w:tblHeader/>
        </w:trPr>
        <w:tc>
          <w:tcPr>
            <w:tcW w:type="dxa" w:w="2800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shd w:fill="E8EE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1F3A5F"/>
                <w:sz w:val="20"/>
                <w:szCs w:val="20"/>
              </w:rPr>
              <w:t xml:space="preserve">Stakeholder / group</w:t>
            </w:r>
          </w:p>
        </w:tc>
        <w:tc>
          <w:tcPr>
            <w:tcW w:type="dxa" w:w="2600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shd w:fill="E8EE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1F3A5F"/>
                <w:sz w:val="20"/>
                <w:szCs w:val="20"/>
              </w:rPr>
              <w:t xml:space="preserve">Role in this work</w:t>
            </w:r>
          </w:p>
        </w:tc>
        <w:tc>
          <w:tcPr>
            <w:tcW w:type="dxa" w:w="2600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shd w:fill="E8EE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1F3A5F"/>
                <w:sz w:val="20"/>
                <w:szCs w:val="20"/>
              </w:rPr>
              <w:t xml:space="preserve">Interest / concern</w:t>
            </w:r>
          </w:p>
        </w:tc>
        <w:tc>
          <w:tcPr>
            <w:tcW w:type="dxa" w:w="1360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shd w:fill="E8EE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1F3A5F"/>
                <w:sz w:val="20"/>
                <w:szCs w:val="20"/>
              </w:rPr>
              <w:t xml:space="preserve">Engagement mode</w:t>
            </w:r>
          </w:p>
        </w:tc>
      </w:tr>
      <w:tr>
        <w:tc>
          <w:tcPr>
            <w:tcW w:type="dxa" w:w="2800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600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600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60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800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600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600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60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800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600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600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60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800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600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600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60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800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600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600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60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after="140"/>
      </w:pPr>
      <w:r>
        <w:t xml:space="preserve"> </w:t>
      </w:r>
    </w:p>
    <w:p>
      <w:pPr>
        <w:pStyle w:val="Heading2"/>
      </w:pPr>
      <w:r>
        <w:t xml:space="preserve">Decision rights</w:t>
      </w:r>
    </w:p>
    <w:p>
      <w:pPr>
        <w:spacing w:after="160"/>
      </w:pPr>
      <w:r>
        <w:rPr>
          <w:i/>
          <w:iCs/>
          <w:color w:val="6B7280"/>
          <w:sz w:val="20"/>
          <w:szCs w:val="20"/>
        </w:rPr>
        <w:t xml:space="preserve">Who approves the proposal, who signs off deliverables, and who can pause the work.</w:t>
      </w:r>
    </w:p>
    <w:p>
      <w:pPr>
        <w:pBdr>
          <w:bottom w:val="single" w:color="9CA3AF" w:sz="4" w:space="1"/>
        </w:pBdr>
        <w:spacing w:after="200"/>
      </w:pPr>
      <w:r>
        <w:t xml:space="preserve"> </w:t>
      </w:r>
    </w:p>
    <w:p>
      <w:pPr>
        <w:pBdr>
          <w:bottom w:val="single" w:color="9CA3AF" w:sz="4" w:space="1"/>
        </w:pBdr>
        <w:spacing w:after="200"/>
      </w:pPr>
      <w:r>
        <w:t xml:space="preserve"> </w:t>
      </w:r>
    </w:p>
    <w:p>
      <w:pPr>
        <w:pStyle w:val="Heading1"/>
      </w:pPr>
      <w:r>
        <w:t xml:space="preserve">7. Budget &amp; Financing</w:t>
      </w:r>
    </w:p>
    <w:p>
      <w:pPr>
        <w:spacing w:after="160"/>
      </w:pPr>
      <w:r>
        <w:rPr>
          <w:i/>
          <w:iCs/>
          <w:color w:val="6B7280"/>
          <w:sz w:val="20"/>
          <w:szCs w:val="20"/>
        </w:rPr>
        <w:t xml:space="preserve">Project totals are built bottom-up: day-rate × estimated days plus a fixed evaluation &amp; reporting envelope. Rates are discussed in the initial consultation.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00"/>
        <w:gridCol w:w="1400"/>
        <w:gridCol w:w="2460"/>
        <w:gridCol w:w="1500"/>
      </w:tblGrid>
      <w:tr>
        <w:trPr>
          <w:tblHeader/>
        </w:trPr>
        <w:tc>
          <w:tcPr>
            <w:tcW w:type="dxa" w:w="4000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shd w:fill="E8EE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1F3A5F"/>
                <w:sz w:val="20"/>
                <w:szCs w:val="20"/>
              </w:rPr>
              <w:t xml:space="preserve">Line</w:t>
            </w:r>
          </w:p>
        </w:tc>
        <w:tc>
          <w:tcPr>
            <w:tcW w:type="dxa" w:w="1400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shd w:fill="E8EE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1F3A5F"/>
                <w:sz w:val="20"/>
                <w:szCs w:val="20"/>
              </w:rPr>
              <w:t xml:space="preserve">Est. days</w:t>
            </w:r>
          </w:p>
        </w:tc>
        <w:tc>
          <w:tcPr>
            <w:tcW w:type="dxa" w:w="2460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shd w:fill="E8EE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1F3A5F"/>
                <w:sz w:val="20"/>
                <w:szCs w:val="20"/>
              </w:rPr>
              <w:t xml:space="preserve">Funding source</w:t>
            </w:r>
          </w:p>
        </w:tc>
        <w:tc>
          <w:tcPr>
            <w:tcW w:type="dxa" w:w="1500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shd w:fill="E8EE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1F3A5F"/>
                <w:sz w:val="20"/>
                <w:szCs w:val="20"/>
              </w:rPr>
              <w:t xml:space="preserve">Notes</w:t>
            </w:r>
          </w:p>
        </w:tc>
      </w:tr>
      <w:tr>
        <w:tc>
          <w:tcPr>
            <w:tcW w:type="dxa" w:w="4000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Discovery + needs assessment</w:t>
            </w:r>
          </w:p>
        </w:tc>
        <w:tc>
          <w:tcPr>
            <w:tcW w:type="dxa" w:w="1400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460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000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Strategy / NAP / roadmap</w:t>
            </w:r>
          </w:p>
        </w:tc>
        <w:tc>
          <w:tcPr>
            <w:tcW w:type="dxa" w:w="1400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460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000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Implementation support</w:t>
            </w:r>
          </w:p>
        </w:tc>
        <w:tc>
          <w:tcPr>
            <w:tcW w:type="dxa" w:w="1400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460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000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Workshops &amp; facilitation</w:t>
            </w:r>
          </w:p>
        </w:tc>
        <w:tc>
          <w:tcPr>
            <w:tcW w:type="dxa" w:w="1400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460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000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Evaluation &amp; reporting</w:t>
            </w:r>
          </w:p>
        </w:tc>
        <w:tc>
          <w:tcPr>
            <w:tcW w:type="dxa" w:w="1400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460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000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Travel &amp; per diem (on-site)</w:t>
            </w:r>
          </w:p>
        </w:tc>
        <w:tc>
          <w:tcPr>
            <w:tcW w:type="dxa" w:w="1400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460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after="140"/>
      </w:pPr>
      <w:r>
        <w:t xml:space="preserve"> </w:t>
      </w:r>
    </w:p>
    <w:p>
      <w:pPr>
        <w:spacing w:after="140"/>
      </w:pPr>
      <w:r>
        <w:t xml:space="preserve">Indicative budget band:   ☐ &lt; $25k   ☐ $25–75k   ☐ $75–200k   ☐ $200k+   ☐ Not sure yet</w:t>
      </w:r>
    </w:p>
    <w:p>
      <w:pPr>
        <w:pStyle w:val="Heading2"/>
      </w:pPr>
      <w:r>
        <w:t xml:space="preserve">Financing mechanisms to explore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Green Climate Fund / adaptation fund pathways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Pre-arranged &amp; forecast-based finance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Blended finance, municipal bonds, resilience guidebook instruments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Mutual aid and community-led funding structures</w:t>
      </w:r>
    </w:p>
    <w:p>
      <w:pPr>
        <w:pStyle w:val="Heading1"/>
      </w:pPr>
      <w:r>
        <w:t xml:space="preserve">8. Risks, Assumptions &amp; Dependencies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0"/>
        <w:gridCol w:w="1400"/>
        <w:gridCol w:w="1400"/>
        <w:gridCol w:w="2360"/>
      </w:tblGrid>
      <w:tr>
        <w:trPr>
          <w:tblHeader/>
        </w:trPr>
        <w:tc>
          <w:tcPr>
            <w:tcW w:type="dxa" w:w="4200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shd w:fill="E8EE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1F3A5F"/>
                <w:sz w:val="20"/>
                <w:szCs w:val="20"/>
              </w:rPr>
              <w:t xml:space="preserve">Risk or assumption</w:t>
            </w:r>
          </w:p>
        </w:tc>
        <w:tc>
          <w:tcPr>
            <w:tcW w:type="dxa" w:w="1400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shd w:fill="E8EE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1F3A5F"/>
                <w:sz w:val="20"/>
                <w:szCs w:val="20"/>
              </w:rPr>
              <w:t xml:space="preserve">Likelihood</w:t>
            </w:r>
          </w:p>
        </w:tc>
        <w:tc>
          <w:tcPr>
            <w:tcW w:type="dxa" w:w="1400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shd w:fill="E8EE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1F3A5F"/>
                <w:sz w:val="20"/>
                <w:szCs w:val="20"/>
              </w:rPr>
              <w:t xml:space="preserve">Impact</w:t>
            </w:r>
          </w:p>
        </w:tc>
        <w:tc>
          <w:tcPr>
            <w:tcW w:type="dxa" w:w="2360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shd w:fill="E8EEF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1F3A5F"/>
                <w:sz w:val="20"/>
                <w:szCs w:val="20"/>
              </w:rPr>
              <w:t xml:space="preserve">Mitigation / owner</w:t>
            </w:r>
          </w:p>
        </w:tc>
      </w:tr>
      <w:tr>
        <w:tc>
          <w:tcPr>
            <w:tcW w:type="dxa" w:w="4200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60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200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60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200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60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200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60"/>
            <w:tcBorders>
              <w:top w:val="single" w:color="C9CDD3" w:sz="4"/>
              <w:left w:val="single" w:color="C9CDD3" w:sz="4"/>
              <w:bottom w:val="single" w:color="C9CDD3" w:sz="4"/>
              <w:right w:val="single" w:color="C9CDD3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pStyle w:val="Heading1"/>
      </w:pPr>
      <w:r>
        <w:t xml:space="preserve">9. Success Criteria &amp; Handover</w:t>
      </w:r>
    </w:p>
    <w:p>
      <w:pPr>
        <w:spacing w:after="160"/>
      </w:pPr>
      <w:r>
        <w:rPr>
          <w:i/>
          <w:iCs/>
          <w:color w:val="6B7280"/>
          <w:sz w:val="20"/>
          <w:szCs w:val="20"/>
        </w:rPr>
        <w:t xml:space="preserve">What must be true for this engagement to be considered complete? Who sustains the work afterwards?</w:t>
      </w:r>
    </w:p>
    <w:p>
      <w:pPr>
        <w:pBdr>
          <w:bottom w:val="single" w:color="9CA3AF" w:sz="4" w:space="1"/>
        </w:pBdr>
        <w:spacing w:after="200"/>
      </w:pPr>
      <w:r>
        <w:t xml:space="preserve"> </w:t>
      </w:r>
    </w:p>
    <w:p>
      <w:pPr>
        <w:pBdr>
          <w:bottom w:val="single" w:color="9CA3AF" w:sz="4" w:space="1"/>
        </w:pBdr>
        <w:spacing w:after="200"/>
      </w:pPr>
      <w:r>
        <w:t xml:space="preserve"> </w:t>
      </w:r>
    </w:p>
    <w:p>
      <w:pPr>
        <w:pBdr>
          <w:bottom w:val="single" w:color="9CA3AF" w:sz="4" w:space="1"/>
        </w:pBdr>
        <w:spacing w:after="200"/>
      </w:pPr>
      <w:r>
        <w:t xml:space="preserve"> </w:t>
      </w:r>
    </w:p>
    <w:p>
      <w:pPr>
        <w:pBdr>
          <w:bottom w:val="single" w:color="9CA3AF" w:sz="4" w:space="1"/>
        </w:pBdr>
        <w:spacing w:after="200"/>
      </w:pPr>
      <w:r>
        <w:t xml:space="preserve"> </w:t>
      </w:r>
    </w:p>
    <w:p>
      <w:pPr>
        <w:pStyle w:val="Heading1"/>
      </w:pPr>
      <w:r>
        <w:t xml:space="preserve">10. Next Step</w:t>
      </w:r>
    </w:p>
    <w:p>
      <w:pPr>
        <w:spacing w:after="140"/>
      </w:pPr>
      <w:r>
        <w:t xml:space="preserve">Return this document (partially complete is fine) to sandman8352@gmail.com or submit the consulting inquiry form at disasterrisksolutions.lovable.app/services. You will receive a written acknowledgement within two business days and, where there is a fit, an invitation to a 30-minute discovery meeting.</w:t>
      </w:r>
    </w:p>
    <w:p>
      <w:pPr>
        <w:spacing w:after="140"/>
      </w:pPr>
      <w:r>
        <w:rPr>
          <w:i/>
          <w:iCs/>
          <w:color w:val="6B7280"/>
          <w:sz w:val="20"/>
          <w:szCs w:val="20"/>
        </w:rPr>
        <w:t xml:space="preserve">Confidential. Not stored on third-party CRMs. Disaster Risk Solutions donates 2% of all proceeds to the United Nations High Commissioner for Refugees.</w:t>
      </w:r>
    </w:p>
    <w:sectPr>
      <w:headerReference w:type="default" r:id="rId7"/>
      <w:footerReference w:type="default" r:id="rId8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6B7280"/>
        <w:sz w:val="16"/>
        <w:szCs w:val="16"/>
      </w:rPr>
      <w:t xml:space="preserve">disasterrisksolutions.lovable.app · sandman8352@gmail.com · Page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color w:val="6B7280"/>
        <w:spacing w:val="40"/>
        <w:sz w:val="16"/>
        <w:szCs w:val="16"/>
      </w:rPr>
      <w:t xml:space="preserve">DISASTER RISK SOLUTIONS · ENGAGEMENT PLAN TEMPLATE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00" w:before="360"/>
      <w:outlineLvl w:val="0"/>
    </w:pPr>
    <w:rPr>
      <w:rFonts w:ascii="Georgia" w:cs="Georgia" w:eastAsia="Georgia" w:hAnsi="Georgia"/>
      <w:b/>
      <w:bCs/>
      <w:color w:val="1F3A5F"/>
      <w:sz w:val="34"/>
      <w:szCs w:val="34"/>
    </w:rPr>
  </w:style>
  <w:style w:type="paragraph" w:styleId="Heading2">
    <w:name w:val="Heading 2"/>
    <w:basedOn w:val="Normal"/>
    <w:next w:val="Normal"/>
    <w:qFormat/>
    <w:pPr>
      <w:spacing w:after="120" w:before="240"/>
      <w:outlineLvl w:val="1"/>
    </w:pPr>
    <w:rPr>
      <w:rFonts w:ascii="Arial" w:cs="Arial" w:eastAsia="Arial" w:hAnsi="Arial"/>
      <w:b/>
      <w:bCs/>
      <w:caps/>
      <w:color w:val="C2410C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Climate Adaptation &amp; DRR Engagement Plan Template</dc:title>
  <dc:creator>Disaster Risk Solutions · Jason Sandman</dc:creator>
  <cp:lastModifiedBy>Un-named</cp:lastModifiedBy>
  <cp:revision>1</cp:revision>
  <dcterms:created xsi:type="dcterms:W3CDTF">2026-09-04T02:54:13.593Z</dcterms:created>
  <dcterms:modified xsi:type="dcterms:W3CDTF">2026-09-04T02:54:13.593Z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